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1546"/>
        <w:tblW w:w="10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0892"/>
      </w:tblGrid>
      <w:tr w:rsidR="00C10D06" w:rsidRPr="00D126B2" w:rsidTr="00C10D06">
        <w:trPr>
          <w:trHeight w:val="543"/>
        </w:trPr>
        <w:tc>
          <w:tcPr>
            <w:tcW w:w="10892" w:type="dxa"/>
          </w:tcPr>
          <w:p w:rsidR="00C10D06" w:rsidRPr="00D126B2" w:rsidRDefault="00C10D06" w:rsidP="00C10D06">
            <w:pPr>
              <w:rPr>
                <w:rFonts w:asciiTheme="minorHAnsi" w:hAnsiTheme="minorHAnsi" w:cstheme="minorHAnsi"/>
                <w:sz w:val="22"/>
                <w:szCs w:val="22"/>
              </w:rPr>
            </w:pPr>
          </w:p>
          <w:p w:rsidR="00C10D06" w:rsidRPr="00D126B2" w:rsidRDefault="00D126B2" w:rsidP="00D126B2">
            <w:pPr>
              <w:tabs>
                <w:tab w:val="left" w:pos="3050"/>
              </w:tabs>
              <w:ind w:left="720"/>
              <w:rPr>
                <w:rFonts w:asciiTheme="minorHAnsi" w:hAnsiTheme="minorHAnsi" w:cstheme="minorHAnsi"/>
                <w:sz w:val="22"/>
                <w:szCs w:val="22"/>
              </w:rPr>
            </w:pPr>
            <w:r>
              <w:rPr>
                <w:rFonts w:asciiTheme="minorHAnsi" w:hAnsiTheme="minorHAnsi" w:cstheme="minorHAnsi"/>
                <w:sz w:val="22"/>
                <w:szCs w:val="22"/>
              </w:rPr>
              <w:tab/>
            </w:r>
          </w:p>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Kompresörlerde basınç, ayarlanmış basınca ulaştığında, kompresör motorunun otomatik olarak durması sağlanacak ve motorun durması geciktiğinde, basınçlı havayı boşa verecek bir güvenlik tertibatı bulunacaktır.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Hava kompresörlerinin hız regülâtörü, periyodik olarak kontrol edilecek ve her zaman iyi çalışır durumda tutulacak ve bunlarda soğutma suyunun akışının gözle izlenebileceği bir tertibat yapılacaktır.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Sabit kompresörlerin temiz hava emmeleri sağlanacak ve patlayıcı, zararlı ve zehirli gaz, duman ve toz emilmesi önlenecektir.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Hava kompresörü ile hava tankları arasında, yağ ve nem ayırıcıları (seperatör) bulunacak ve bunlar hiç bir şekilde çıkarılmayacaktır.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Hava kompresörlerinin çıkış borusu üzerinde stop valfı bulunduğunda, bu valf ile kompresör arasında bir adet güvenlik supabı konacaktır.</w:t>
            </w:r>
          </w:p>
        </w:tc>
      </w:tr>
      <w:tr w:rsidR="00C10D06" w:rsidRPr="00D126B2" w:rsidTr="00C10D06">
        <w:trPr>
          <w:trHeight w:val="283"/>
        </w:trPr>
        <w:tc>
          <w:tcPr>
            <w:tcW w:w="10892" w:type="dxa"/>
          </w:tcPr>
          <w:p w:rsidR="00C10D06" w:rsidRPr="00262B13" w:rsidRDefault="00C10D06" w:rsidP="00C10D06">
            <w:pPr>
              <w:numPr>
                <w:ilvl w:val="0"/>
                <w:numId w:val="8"/>
              </w:numPr>
              <w:rPr>
                <w:rFonts w:asciiTheme="minorHAnsi" w:hAnsiTheme="minorHAnsi" w:cstheme="minorHAnsi"/>
                <w:b/>
                <w:sz w:val="22"/>
                <w:szCs w:val="22"/>
              </w:rPr>
            </w:pPr>
            <w:r w:rsidRPr="00262B13">
              <w:rPr>
                <w:rFonts w:asciiTheme="minorHAnsi" w:hAnsiTheme="minorHAnsi" w:cstheme="minorHAnsi"/>
                <w:b/>
                <w:sz w:val="22"/>
                <w:szCs w:val="22"/>
              </w:rPr>
              <w:t>Kompresörlerin güvenlikle çalışmalarını sağlamak üzere; kompresörlerin montajından sonra ve çalıştırılmasından önce, kompresörler üzerinde yapılacak değişiklik ve büyük onarımlardan sonra,  periyodik olarak yılda bir kontrol ve deneyleri, ehliyeti Hükümet veya mahalli idarelerce kabul edilen teknik elemanlar tarafından yapılacak ve sonuçlan, sicil kartına veya defterine işlenecektir.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Kompresörlerin her kademesinde basınç deneyi, o kademede müsaade edilen en yüksek basıncının 1,5 katı ile yapılacaktır.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Kompresörlerin, tehlike anında, uzak bir yerden durdurulması sağlanacaktır.</w:t>
            </w:r>
          </w:p>
        </w:tc>
      </w:tr>
      <w:tr w:rsidR="00C10D06" w:rsidRPr="00D126B2" w:rsidTr="00C10D06">
        <w:trPr>
          <w:trHeight w:val="376"/>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K</w:t>
            </w:r>
            <w:r w:rsidR="00262B13">
              <w:rPr>
                <w:rFonts w:asciiTheme="minorHAnsi" w:hAnsiTheme="minorHAnsi" w:cstheme="minorHAnsi"/>
                <w:sz w:val="22"/>
                <w:szCs w:val="22"/>
              </w:rPr>
              <w:t xml:space="preserve">ompresörlerin hava depolarında </w:t>
            </w:r>
            <w:r w:rsidRPr="00D126B2">
              <w:rPr>
                <w:rFonts w:asciiTheme="minorHAnsi" w:hAnsiTheme="minorHAnsi" w:cstheme="minorHAnsi"/>
                <w:sz w:val="22"/>
                <w:szCs w:val="22"/>
              </w:rPr>
              <w:t>güvenlik supabı bulunacak ve bu supaplarda, çıkan gazlara karşı gerekli tedbirler alınacak ve emniyet supaplarının açıldığını bildiren uygun uyarma tertibatı yapılacaktır.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Kompresörlerde, her kompresöre özgü, özel kompresör yağı kullanılacaktır.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Sabit kompresörlerin depoları, patlamalara karşı dayanıklı bir bölmede olacak, seyyar kompresörler, çalışan işçilerden en az 10 metre uzaklıkta veya dayanıklı bir bölme içinde bulunacaktır.</w:t>
            </w:r>
          </w:p>
        </w:tc>
      </w:tr>
      <w:tr w:rsidR="00C10D06" w:rsidRPr="00D126B2" w:rsidTr="00C10D06">
        <w:trPr>
          <w:trHeight w:val="283"/>
        </w:trPr>
        <w:tc>
          <w:tcPr>
            <w:tcW w:w="10892" w:type="dxa"/>
          </w:tcPr>
          <w:p w:rsidR="00C10D06" w:rsidRPr="00D126B2" w:rsidRDefault="00C10D06" w:rsidP="00C10D06">
            <w:pPr>
              <w:numPr>
                <w:ilvl w:val="0"/>
                <w:numId w:val="8"/>
              </w:numPr>
              <w:rPr>
                <w:rFonts w:asciiTheme="minorHAnsi" w:hAnsiTheme="minorHAnsi" w:cstheme="minorHAnsi"/>
                <w:sz w:val="22"/>
                <w:szCs w:val="22"/>
              </w:rPr>
            </w:pPr>
            <w:r w:rsidRPr="00D126B2">
              <w:rPr>
                <w:rFonts w:asciiTheme="minorHAnsi" w:hAnsiTheme="minorHAnsi" w:cstheme="minorHAnsi"/>
                <w:sz w:val="22"/>
                <w:szCs w:val="22"/>
              </w:rPr>
              <w:t>Kompresörlerde basınç, ayarlanmış basınca ulaştığında, kompresör motorunun otomatik olarak durması sağlanacak ve motorun durması geciktiğinde, basınçlı havayı boşa verecek bir güvenlik tertibatı bulunacaktır.</w:t>
            </w:r>
          </w:p>
        </w:tc>
      </w:tr>
    </w:tbl>
    <w:p w:rsidR="00602365" w:rsidRPr="00D126B2" w:rsidRDefault="00602365" w:rsidP="00C73A4D">
      <w:pPr>
        <w:rPr>
          <w:rFonts w:asciiTheme="minorHAnsi" w:hAnsiTheme="minorHAnsi" w:cstheme="minorHAnsi"/>
          <w:sz w:val="22"/>
          <w:szCs w:val="22"/>
        </w:rPr>
      </w:pPr>
    </w:p>
    <w:tbl>
      <w:tblPr>
        <w:tblW w:w="107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2638"/>
        <w:gridCol w:w="2857"/>
        <w:gridCol w:w="2891"/>
      </w:tblGrid>
      <w:tr w:rsidR="00C73A4D" w:rsidRPr="00D126B2" w:rsidTr="00C10D06">
        <w:trPr>
          <w:trHeight w:val="1029"/>
        </w:trPr>
        <w:tc>
          <w:tcPr>
            <w:tcW w:w="2382" w:type="dxa"/>
            <w:shd w:val="clear" w:color="auto" w:fill="auto"/>
          </w:tcPr>
          <w:p w:rsidR="00C73A4D" w:rsidRPr="00D126B2" w:rsidRDefault="00C73A4D" w:rsidP="00A74D2D">
            <w:pPr>
              <w:rPr>
                <w:rFonts w:asciiTheme="minorHAnsi" w:hAnsiTheme="minorHAnsi" w:cstheme="minorHAnsi"/>
                <w:sz w:val="22"/>
                <w:szCs w:val="22"/>
              </w:rPr>
            </w:pPr>
            <w:r w:rsidRPr="00D126B2">
              <w:rPr>
                <w:rFonts w:asciiTheme="minorHAnsi" w:hAnsiTheme="minorHAnsi" w:cstheme="minorHAnsi"/>
                <w:noProof/>
                <w:sz w:val="22"/>
                <w:szCs w:val="22"/>
              </w:rPr>
              <w:drawing>
                <wp:inline distT="0" distB="0" distL="0" distR="0">
                  <wp:extent cx="1285875" cy="1581150"/>
                  <wp:effectExtent l="19050" t="0" r="9525" b="0"/>
                  <wp:docPr id="11" name="Resim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1)"/>
                          <pic:cNvPicPr>
                            <a:picLocks noChangeAspect="1" noChangeArrowheads="1"/>
                          </pic:cNvPicPr>
                        </pic:nvPicPr>
                        <pic:blipFill>
                          <a:blip r:embed="rId8" cstate="print"/>
                          <a:srcRect/>
                          <a:stretch>
                            <a:fillRect/>
                          </a:stretch>
                        </pic:blipFill>
                        <pic:spPr bwMode="auto">
                          <a:xfrm>
                            <a:off x="0" y="0"/>
                            <a:ext cx="1285875" cy="1581150"/>
                          </a:xfrm>
                          <a:prstGeom prst="rect">
                            <a:avLst/>
                          </a:prstGeom>
                          <a:noFill/>
                          <a:ln w="9525">
                            <a:noFill/>
                            <a:miter lim="800000"/>
                            <a:headEnd/>
                            <a:tailEnd/>
                          </a:ln>
                        </pic:spPr>
                      </pic:pic>
                    </a:graphicData>
                  </a:graphic>
                </wp:inline>
              </w:drawing>
            </w:r>
          </w:p>
        </w:tc>
        <w:tc>
          <w:tcPr>
            <w:tcW w:w="2638" w:type="dxa"/>
            <w:shd w:val="clear" w:color="auto" w:fill="auto"/>
          </w:tcPr>
          <w:p w:rsidR="00C73A4D" w:rsidRPr="00D126B2" w:rsidRDefault="00C73A4D" w:rsidP="00C73A4D">
            <w:pPr>
              <w:rPr>
                <w:rFonts w:asciiTheme="minorHAnsi" w:hAnsiTheme="minorHAnsi" w:cstheme="minorHAnsi"/>
                <w:sz w:val="22"/>
                <w:szCs w:val="22"/>
              </w:rPr>
            </w:pPr>
            <w:r w:rsidRPr="00D126B2">
              <w:rPr>
                <w:rFonts w:asciiTheme="minorHAnsi" w:hAnsiTheme="minorHAnsi" w:cstheme="minorHAnsi"/>
                <w:b/>
                <w:noProof/>
                <w:sz w:val="22"/>
                <w:szCs w:val="22"/>
              </w:rPr>
              <w:drawing>
                <wp:inline distT="0" distB="0" distL="0" distR="0">
                  <wp:extent cx="1419225" cy="1581150"/>
                  <wp:effectExtent l="19050" t="0" r="9525" b="0"/>
                  <wp:docPr id="12" name="Resim 3"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2)"/>
                          <pic:cNvPicPr>
                            <a:picLocks noChangeAspect="1" noChangeArrowheads="1"/>
                          </pic:cNvPicPr>
                        </pic:nvPicPr>
                        <pic:blipFill>
                          <a:blip r:embed="rId9" cstate="print"/>
                          <a:srcRect/>
                          <a:stretch>
                            <a:fillRect/>
                          </a:stretch>
                        </pic:blipFill>
                        <pic:spPr bwMode="auto">
                          <a:xfrm>
                            <a:off x="0" y="0"/>
                            <a:ext cx="1419225" cy="1581150"/>
                          </a:xfrm>
                          <a:prstGeom prst="rect">
                            <a:avLst/>
                          </a:prstGeom>
                          <a:noFill/>
                          <a:ln w="9525">
                            <a:noFill/>
                            <a:miter lim="800000"/>
                            <a:headEnd/>
                            <a:tailEnd/>
                          </a:ln>
                        </pic:spPr>
                      </pic:pic>
                    </a:graphicData>
                  </a:graphic>
                </wp:inline>
              </w:drawing>
            </w:r>
          </w:p>
        </w:tc>
        <w:tc>
          <w:tcPr>
            <w:tcW w:w="2857" w:type="dxa"/>
            <w:shd w:val="clear" w:color="auto" w:fill="auto"/>
          </w:tcPr>
          <w:p w:rsidR="00C73A4D" w:rsidRPr="00D126B2" w:rsidRDefault="00C73A4D" w:rsidP="00A74D2D">
            <w:pPr>
              <w:rPr>
                <w:rFonts w:asciiTheme="minorHAnsi" w:hAnsiTheme="minorHAnsi" w:cstheme="minorHAnsi"/>
                <w:sz w:val="22"/>
                <w:szCs w:val="22"/>
              </w:rPr>
            </w:pPr>
            <w:r w:rsidRPr="00D126B2">
              <w:rPr>
                <w:rFonts w:asciiTheme="minorHAnsi" w:hAnsiTheme="minorHAnsi" w:cstheme="minorHAnsi"/>
                <w:noProof/>
                <w:sz w:val="22"/>
                <w:szCs w:val="22"/>
              </w:rPr>
              <w:drawing>
                <wp:inline distT="0" distB="0" distL="0" distR="0">
                  <wp:extent cx="1638300" cy="1657350"/>
                  <wp:effectExtent l="19050" t="0" r="0" b="0"/>
                  <wp:docPr id="13" name="Resim 5" descr="indi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r (3)"/>
                          <pic:cNvPicPr>
                            <a:picLocks noChangeAspect="1" noChangeArrowheads="1"/>
                          </pic:cNvPicPr>
                        </pic:nvPicPr>
                        <pic:blipFill>
                          <a:blip r:embed="rId10" cstate="print"/>
                          <a:srcRect/>
                          <a:stretch>
                            <a:fillRect/>
                          </a:stretch>
                        </pic:blipFill>
                        <pic:spPr bwMode="auto">
                          <a:xfrm>
                            <a:off x="0" y="0"/>
                            <a:ext cx="1638300" cy="1657350"/>
                          </a:xfrm>
                          <a:prstGeom prst="rect">
                            <a:avLst/>
                          </a:prstGeom>
                          <a:noFill/>
                          <a:ln w="9525">
                            <a:noFill/>
                            <a:miter lim="800000"/>
                            <a:headEnd/>
                            <a:tailEnd/>
                          </a:ln>
                        </pic:spPr>
                      </pic:pic>
                    </a:graphicData>
                  </a:graphic>
                </wp:inline>
              </w:drawing>
            </w:r>
          </w:p>
        </w:tc>
        <w:tc>
          <w:tcPr>
            <w:tcW w:w="2891" w:type="dxa"/>
            <w:shd w:val="clear" w:color="auto" w:fill="auto"/>
          </w:tcPr>
          <w:p w:rsidR="00C73A4D" w:rsidRPr="00D126B2" w:rsidRDefault="00C73A4D" w:rsidP="00A74D2D">
            <w:pPr>
              <w:rPr>
                <w:rFonts w:asciiTheme="minorHAnsi" w:hAnsiTheme="minorHAnsi" w:cstheme="minorHAnsi"/>
                <w:sz w:val="22"/>
                <w:szCs w:val="22"/>
              </w:rPr>
            </w:pPr>
            <w:r w:rsidRPr="00D126B2">
              <w:rPr>
                <w:rFonts w:asciiTheme="minorHAnsi" w:hAnsiTheme="minorHAnsi" w:cstheme="minorHAnsi"/>
                <w:noProof/>
                <w:sz w:val="22"/>
                <w:szCs w:val="22"/>
              </w:rPr>
              <w:drawing>
                <wp:inline distT="0" distB="0" distL="0" distR="0">
                  <wp:extent cx="1657350" cy="1657350"/>
                  <wp:effectExtent l="19050" t="0" r="0" b="0"/>
                  <wp:docPr id="14" name="Resim 4" descr="imag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9)"/>
                          <pic:cNvPicPr>
                            <a:picLocks noChangeAspect="1" noChangeArrowheads="1"/>
                          </pic:cNvPicPr>
                        </pic:nvPicPr>
                        <pic:blipFill>
                          <a:blip r:embed="rId11" cstate="print"/>
                          <a:srcRect/>
                          <a:stretch>
                            <a:fillRect/>
                          </a:stretch>
                        </pic:blipFill>
                        <pic:spPr bwMode="auto">
                          <a:xfrm>
                            <a:off x="0" y="0"/>
                            <a:ext cx="1657350" cy="1657350"/>
                          </a:xfrm>
                          <a:prstGeom prst="rect">
                            <a:avLst/>
                          </a:prstGeom>
                          <a:noFill/>
                          <a:ln w="9525">
                            <a:noFill/>
                            <a:miter lim="800000"/>
                            <a:headEnd/>
                            <a:tailEnd/>
                          </a:ln>
                        </pic:spPr>
                      </pic:pic>
                    </a:graphicData>
                  </a:graphic>
                </wp:inline>
              </w:drawing>
            </w:r>
          </w:p>
        </w:tc>
      </w:tr>
    </w:tbl>
    <w:p w:rsidR="008F0F01" w:rsidRPr="00D126B2" w:rsidRDefault="008F0F01" w:rsidP="00C73A4D">
      <w:pPr>
        <w:rPr>
          <w:rFonts w:asciiTheme="minorHAnsi" w:hAnsiTheme="minorHAnsi" w:cstheme="minorHAnsi"/>
          <w:sz w:val="22"/>
          <w:szCs w:val="22"/>
        </w:rPr>
      </w:pPr>
    </w:p>
    <w:sectPr w:rsidR="008F0F01" w:rsidRPr="00D126B2" w:rsidSect="0070176C">
      <w:headerReference w:type="default" r:id="rId12"/>
      <w:footerReference w:type="even" r:id="rId13"/>
      <w:footerReference w:type="default" r:id="rId14"/>
      <w:pgSz w:w="12242" w:h="15842" w:code="1"/>
      <w:pgMar w:top="1945" w:right="1418" w:bottom="0" w:left="1276" w:header="284" w:footer="485"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2FF" w:rsidRDefault="00DB32FF">
      <w:r>
        <w:separator/>
      </w:r>
    </w:p>
  </w:endnote>
  <w:endnote w:type="continuationSeparator" w:id="1">
    <w:p w:rsidR="00DB32FF" w:rsidRDefault="00DB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B2" w:rsidRDefault="00D126B2" w:rsidP="00D126B2">
    <w:pPr>
      <w:pStyle w:val="Altbilgi"/>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CA" w:rsidRDefault="004832CA" w:rsidP="004832CA"/>
  <w:p w:rsidR="004832CA" w:rsidRDefault="004832CA" w:rsidP="004832CA">
    <w:pPr>
      <w:pStyle w:val="Altbilgi"/>
      <w:tabs>
        <w:tab w:val="left" w:pos="349"/>
        <w:tab w:val="right" w:pos="9497"/>
      </w:tabs>
      <w:rPr>
        <w:sz w:val="16"/>
        <w:szCs w:val="16"/>
      </w:rPr>
    </w:pPr>
    <w:r>
      <w:rPr>
        <w:sz w:val="16"/>
        <w:szCs w:val="16"/>
      </w:rPr>
      <w:t xml:space="preserve">AD-SOYAD  </w:t>
    </w:r>
    <w:r>
      <w:rPr>
        <w:sz w:val="16"/>
        <w:szCs w:val="16"/>
      </w:rPr>
      <w:tab/>
      <w:t xml:space="preserve">  TARİH       </w:t>
    </w:r>
    <w:r>
      <w:rPr>
        <w:sz w:val="16"/>
        <w:szCs w:val="16"/>
      </w:rPr>
      <w:tab/>
    </w:r>
    <w:r>
      <w:rPr>
        <w:sz w:val="16"/>
        <w:szCs w:val="16"/>
      </w:rPr>
      <w:tab/>
    </w:r>
    <w:bookmarkStart w:id="0" w:name="_GoBack"/>
    <w:bookmarkEnd w:id="0"/>
    <w:r>
      <w:rPr>
        <w:sz w:val="16"/>
        <w:szCs w:val="16"/>
      </w:rPr>
      <w:t>İMZA</w:t>
    </w:r>
  </w:p>
  <w:p w:rsidR="004832CA" w:rsidRDefault="004832CA" w:rsidP="004832CA">
    <w:pPr>
      <w:pStyle w:val="stbilgi"/>
      <w:rPr>
        <w:sz w:val="10"/>
      </w:rPr>
    </w:pPr>
  </w:p>
  <w:p w:rsidR="004832CA" w:rsidRDefault="004832CA" w:rsidP="004832CA">
    <w:pPr>
      <w:jc w:val="both"/>
    </w:pPr>
  </w:p>
  <w:p w:rsidR="004832CA" w:rsidRPr="004832CA" w:rsidRDefault="004832CA" w:rsidP="004832CA">
    <w:pPr>
      <w:jc w:val="both"/>
      <w:rPr>
        <w:sz w:val="16"/>
        <w:szCs w:val="16"/>
      </w:rPr>
    </w:pPr>
    <w:r>
      <w:rPr>
        <w:sz w:val="16"/>
        <w:szCs w:val="16"/>
      </w:rPr>
      <w:t>İş Sağlığı Ve Güvenliği talimatını teslim aldım. Bu talimatı dikkatle talimatları tavsiye ve kurallara uymayı, iş güvenliği ile ilgili kişisel koruyucuları mutlaka kullanacağımı, her işe başlamamda işin risklerini araştıracağımı ve birlikte çalıştığım arkadaşlarımın da güvenliğini gözeteceğimi, iş riskleri ile ilgili her bilgiyi hiç vakit geçirmeden anında amirlerimle paylaşacağımı ve sonuçta güvenli çalışmayı taahhüt ediyorum.</w:t>
    </w:r>
  </w:p>
  <w:p w:rsidR="00D126B2" w:rsidRDefault="00D126B2" w:rsidP="00D126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2FF" w:rsidRDefault="00DB32FF">
      <w:r>
        <w:separator/>
      </w:r>
    </w:p>
  </w:footnote>
  <w:footnote w:type="continuationSeparator" w:id="1">
    <w:p w:rsidR="00DB32FF" w:rsidRDefault="00DB3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0"/>
      <w:gridCol w:w="5151"/>
      <w:gridCol w:w="1707"/>
      <w:gridCol w:w="1140"/>
      <w:gridCol w:w="1032"/>
    </w:tblGrid>
    <w:tr w:rsidR="00C73A4D" w:rsidRPr="00456FF7" w:rsidTr="00F073AD">
      <w:trPr>
        <w:trHeight w:val="263"/>
        <w:jc w:val="center"/>
      </w:trPr>
      <w:tc>
        <w:tcPr>
          <w:tcW w:w="1560" w:type="dxa"/>
          <w:vMerge w:val="restart"/>
          <w:vAlign w:val="center"/>
        </w:tcPr>
        <w:p w:rsidR="00C73A4D" w:rsidRPr="00456FF7" w:rsidRDefault="00C73A4D" w:rsidP="00F073AD">
          <w:pPr>
            <w:pStyle w:val="stbilgi"/>
            <w:jc w:val="center"/>
          </w:pPr>
        </w:p>
      </w:tc>
      <w:tc>
        <w:tcPr>
          <w:tcW w:w="5151" w:type="dxa"/>
          <w:vMerge w:val="restart"/>
          <w:vAlign w:val="center"/>
        </w:tcPr>
        <w:p w:rsidR="00C73A4D" w:rsidRPr="00C864B7" w:rsidRDefault="00C73A4D" w:rsidP="00C73A4D">
          <w:pPr>
            <w:jc w:val="center"/>
            <w:rPr>
              <w:b/>
            </w:rPr>
          </w:pPr>
          <w:r w:rsidRPr="00C864B7">
            <w:rPr>
              <w:b/>
              <w:highlight w:val="yellow"/>
            </w:rPr>
            <w:t>……………………LTD.ŞTİ</w:t>
          </w:r>
        </w:p>
        <w:p w:rsidR="00C73A4D" w:rsidRPr="00746432" w:rsidRDefault="00C73A4D" w:rsidP="00C73A4D">
          <w:pPr>
            <w:jc w:val="center"/>
            <w:rPr>
              <w:b/>
            </w:rPr>
          </w:pPr>
          <w:r>
            <w:rPr>
              <w:b/>
            </w:rPr>
            <w:t xml:space="preserve">KOMPRESÖR </w:t>
          </w:r>
          <w:r w:rsidR="00C10D06">
            <w:rPr>
              <w:b/>
            </w:rPr>
            <w:t xml:space="preserve">GÜVENLİ </w:t>
          </w:r>
          <w:r>
            <w:rPr>
              <w:b/>
            </w:rPr>
            <w:t>KULLANIM TALİMATI</w:t>
          </w:r>
        </w:p>
      </w:tc>
      <w:tc>
        <w:tcPr>
          <w:tcW w:w="1707" w:type="dxa"/>
          <w:vMerge w:val="restart"/>
          <w:vAlign w:val="center"/>
        </w:tcPr>
        <w:p w:rsidR="00C73A4D" w:rsidRPr="002E556B" w:rsidRDefault="00C73A4D" w:rsidP="00F073AD">
          <w:pPr>
            <w:jc w:val="center"/>
            <w:rPr>
              <w:b/>
            </w:rPr>
          </w:pPr>
          <w:r>
            <w:rPr>
              <w:b/>
              <w:noProof/>
            </w:rPr>
            <w:t>FİRMA LOGO</w:t>
          </w:r>
        </w:p>
      </w:tc>
      <w:tc>
        <w:tcPr>
          <w:tcW w:w="1140" w:type="dxa"/>
          <w:vAlign w:val="center"/>
        </w:tcPr>
        <w:p w:rsidR="00C73A4D" w:rsidRPr="00841DC7" w:rsidRDefault="00C73A4D" w:rsidP="00F073AD">
          <w:pPr>
            <w:pStyle w:val="stbilgi"/>
            <w:jc w:val="center"/>
            <w:rPr>
              <w:sz w:val="16"/>
              <w:szCs w:val="16"/>
            </w:rPr>
          </w:pPr>
          <w:r w:rsidRPr="00841DC7">
            <w:rPr>
              <w:sz w:val="16"/>
              <w:szCs w:val="16"/>
            </w:rPr>
            <w:t>Doküman No</w:t>
          </w:r>
        </w:p>
      </w:tc>
      <w:tc>
        <w:tcPr>
          <w:tcW w:w="1032" w:type="dxa"/>
          <w:vAlign w:val="center"/>
        </w:tcPr>
        <w:p w:rsidR="00C73A4D" w:rsidRPr="00841DC7" w:rsidRDefault="00C73A4D" w:rsidP="00262B13">
          <w:pPr>
            <w:pStyle w:val="stbilgi"/>
            <w:rPr>
              <w:sz w:val="16"/>
              <w:szCs w:val="16"/>
            </w:rPr>
          </w:pPr>
        </w:p>
      </w:tc>
    </w:tr>
    <w:tr w:rsidR="00C73A4D" w:rsidRPr="00456FF7" w:rsidTr="00F073AD">
      <w:trPr>
        <w:trHeight w:val="264"/>
        <w:jc w:val="center"/>
      </w:trPr>
      <w:tc>
        <w:tcPr>
          <w:tcW w:w="1560" w:type="dxa"/>
          <w:vMerge/>
        </w:tcPr>
        <w:p w:rsidR="00C73A4D" w:rsidRPr="00456FF7" w:rsidRDefault="00C73A4D" w:rsidP="00F073AD">
          <w:pPr>
            <w:pStyle w:val="stbilgi"/>
            <w:rPr>
              <w:noProof/>
            </w:rPr>
          </w:pPr>
        </w:p>
      </w:tc>
      <w:tc>
        <w:tcPr>
          <w:tcW w:w="5151" w:type="dxa"/>
          <w:vMerge/>
        </w:tcPr>
        <w:p w:rsidR="00C73A4D" w:rsidRPr="002E556B" w:rsidRDefault="00C73A4D" w:rsidP="00F073AD">
          <w:pPr>
            <w:pStyle w:val="stbilgi"/>
          </w:pPr>
        </w:p>
      </w:tc>
      <w:tc>
        <w:tcPr>
          <w:tcW w:w="1707" w:type="dxa"/>
          <w:vMerge/>
        </w:tcPr>
        <w:p w:rsidR="00C73A4D" w:rsidRPr="002E556B" w:rsidRDefault="00C73A4D" w:rsidP="00F073AD">
          <w:pPr>
            <w:pStyle w:val="stbilgi"/>
          </w:pPr>
        </w:p>
      </w:tc>
      <w:tc>
        <w:tcPr>
          <w:tcW w:w="1140" w:type="dxa"/>
          <w:tcBorders>
            <w:top w:val="single" w:sz="4" w:space="0" w:color="auto"/>
            <w:bottom w:val="single" w:sz="4" w:space="0" w:color="auto"/>
          </w:tcBorders>
          <w:vAlign w:val="center"/>
        </w:tcPr>
        <w:p w:rsidR="00C73A4D" w:rsidRPr="00841DC7" w:rsidRDefault="00C73A4D" w:rsidP="00F073AD">
          <w:pPr>
            <w:pStyle w:val="stbilgi"/>
            <w:jc w:val="center"/>
            <w:rPr>
              <w:sz w:val="16"/>
              <w:szCs w:val="16"/>
            </w:rPr>
          </w:pPr>
          <w:r w:rsidRPr="00841DC7">
            <w:rPr>
              <w:sz w:val="16"/>
              <w:szCs w:val="16"/>
            </w:rPr>
            <w:t>Yayın Tarihi</w:t>
          </w:r>
        </w:p>
      </w:tc>
      <w:tc>
        <w:tcPr>
          <w:tcW w:w="1032" w:type="dxa"/>
          <w:tcBorders>
            <w:top w:val="single" w:sz="4" w:space="0" w:color="auto"/>
            <w:bottom w:val="single" w:sz="4" w:space="0" w:color="auto"/>
          </w:tcBorders>
          <w:vAlign w:val="center"/>
        </w:tcPr>
        <w:p w:rsidR="00C73A4D" w:rsidRPr="00841DC7" w:rsidRDefault="00C73A4D" w:rsidP="00262B13">
          <w:pPr>
            <w:pStyle w:val="stbilgi"/>
            <w:rPr>
              <w:sz w:val="16"/>
              <w:szCs w:val="16"/>
            </w:rPr>
          </w:pPr>
        </w:p>
      </w:tc>
    </w:tr>
    <w:tr w:rsidR="00C73A4D" w:rsidRPr="00456FF7" w:rsidTr="00F073AD">
      <w:trPr>
        <w:trHeight w:val="263"/>
        <w:jc w:val="center"/>
      </w:trPr>
      <w:tc>
        <w:tcPr>
          <w:tcW w:w="1560" w:type="dxa"/>
          <w:vMerge/>
        </w:tcPr>
        <w:p w:rsidR="00C73A4D" w:rsidRPr="00456FF7" w:rsidRDefault="00C73A4D" w:rsidP="00F073AD">
          <w:pPr>
            <w:pStyle w:val="stbilgi"/>
            <w:rPr>
              <w:noProof/>
            </w:rPr>
          </w:pPr>
        </w:p>
      </w:tc>
      <w:tc>
        <w:tcPr>
          <w:tcW w:w="5151" w:type="dxa"/>
          <w:vMerge/>
        </w:tcPr>
        <w:p w:rsidR="00C73A4D" w:rsidRPr="002E556B" w:rsidRDefault="00C73A4D" w:rsidP="00F073AD">
          <w:pPr>
            <w:pStyle w:val="stbilgi"/>
          </w:pPr>
        </w:p>
      </w:tc>
      <w:tc>
        <w:tcPr>
          <w:tcW w:w="1707" w:type="dxa"/>
          <w:vMerge/>
        </w:tcPr>
        <w:p w:rsidR="00C73A4D" w:rsidRPr="002E556B" w:rsidRDefault="00C73A4D" w:rsidP="00F073AD">
          <w:pPr>
            <w:pStyle w:val="stbilgi"/>
          </w:pPr>
        </w:p>
      </w:tc>
      <w:tc>
        <w:tcPr>
          <w:tcW w:w="1140" w:type="dxa"/>
          <w:tcBorders>
            <w:top w:val="single" w:sz="4" w:space="0" w:color="auto"/>
            <w:bottom w:val="single" w:sz="4" w:space="0" w:color="auto"/>
          </w:tcBorders>
          <w:vAlign w:val="center"/>
        </w:tcPr>
        <w:p w:rsidR="00C73A4D" w:rsidRPr="00841DC7" w:rsidRDefault="00C73A4D" w:rsidP="00F073AD">
          <w:pPr>
            <w:pStyle w:val="stbilgi"/>
            <w:jc w:val="center"/>
            <w:rPr>
              <w:sz w:val="16"/>
              <w:szCs w:val="16"/>
            </w:rPr>
          </w:pPr>
          <w:r w:rsidRPr="00841DC7">
            <w:rPr>
              <w:sz w:val="16"/>
              <w:szCs w:val="16"/>
            </w:rPr>
            <w:t>Revizyon Tarihi</w:t>
          </w:r>
        </w:p>
      </w:tc>
      <w:tc>
        <w:tcPr>
          <w:tcW w:w="1032" w:type="dxa"/>
          <w:tcBorders>
            <w:top w:val="single" w:sz="4" w:space="0" w:color="auto"/>
            <w:bottom w:val="single" w:sz="4" w:space="0" w:color="auto"/>
          </w:tcBorders>
          <w:vAlign w:val="center"/>
        </w:tcPr>
        <w:p w:rsidR="00C73A4D" w:rsidRPr="00841DC7" w:rsidRDefault="00C73A4D" w:rsidP="00F073AD">
          <w:pPr>
            <w:pStyle w:val="stbilgi"/>
            <w:jc w:val="center"/>
            <w:rPr>
              <w:sz w:val="16"/>
              <w:szCs w:val="16"/>
            </w:rPr>
          </w:pPr>
          <w:r>
            <w:rPr>
              <w:sz w:val="16"/>
              <w:szCs w:val="16"/>
            </w:rPr>
            <w:t>-</w:t>
          </w:r>
        </w:p>
      </w:tc>
    </w:tr>
    <w:tr w:rsidR="00C73A4D" w:rsidRPr="00456FF7" w:rsidTr="00F073AD">
      <w:trPr>
        <w:trHeight w:val="264"/>
        <w:jc w:val="center"/>
      </w:trPr>
      <w:tc>
        <w:tcPr>
          <w:tcW w:w="1560" w:type="dxa"/>
          <w:vMerge/>
        </w:tcPr>
        <w:p w:rsidR="00C73A4D" w:rsidRPr="00456FF7" w:rsidRDefault="00C73A4D" w:rsidP="00F073AD">
          <w:pPr>
            <w:pStyle w:val="stbilgi"/>
            <w:rPr>
              <w:noProof/>
            </w:rPr>
          </w:pPr>
        </w:p>
      </w:tc>
      <w:tc>
        <w:tcPr>
          <w:tcW w:w="5151" w:type="dxa"/>
          <w:vMerge/>
        </w:tcPr>
        <w:p w:rsidR="00C73A4D" w:rsidRPr="002E556B" w:rsidRDefault="00C73A4D" w:rsidP="00F073AD">
          <w:pPr>
            <w:pStyle w:val="stbilgi"/>
          </w:pPr>
        </w:p>
      </w:tc>
      <w:tc>
        <w:tcPr>
          <w:tcW w:w="1707" w:type="dxa"/>
          <w:vMerge/>
        </w:tcPr>
        <w:p w:rsidR="00C73A4D" w:rsidRPr="002E556B" w:rsidRDefault="00C73A4D" w:rsidP="00F073AD">
          <w:pPr>
            <w:pStyle w:val="stbilgi"/>
          </w:pPr>
        </w:p>
      </w:tc>
      <w:tc>
        <w:tcPr>
          <w:tcW w:w="1140" w:type="dxa"/>
          <w:tcBorders>
            <w:top w:val="single" w:sz="4" w:space="0" w:color="auto"/>
          </w:tcBorders>
          <w:vAlign w:val="center"/>
        </w:tcPr>
        <w:p w:rsidR="00C73A4D" w:rsidRPr="00841DC7" w:rsidRDefault="00C73A4D" w:rsidP="00F073AD">
          <w:pPr>
            <w:pStyle w:val="stbilgi"/>
            <w:jc w:val="center"/>
            <w:rPr>
              <w:sz w:val="16"/>
              <w:szCs w:val="16"/>
            </w:rPr>
          </w:pPr>
          <w:r w:rsidRPr="00841DC7">
            <w:rPr>
              <w:sz w:val="16"/>
              <w:szCs w:val="16"/>
            </w:rPr>
            <w:t>Revizyon No</w:t>
          </w:r>
        </w:p>
      </w:tc>
      <w:tc>
        <w:tcPr>
          <w:tcW w:w="1032" w:type="dxa"/>
          <w:tcBorders>
            <w:top w:val="single" w:sz="4" w:space="0" w:color="auto"/>
          </w:tcBorders>
          <w:vAlign w:val="center"/>
        </w:tcPr>
        <w:p w:rsidR="00C73A4D" w:rsidRPr="00841DC7" w:rsidRDefault="00C73A4D" w:rsidP="00F073AD">
          <w:pPr>
            <w:pStyle w:val="stbilgi"/>
            <w:jc w:val="center"/>
            <w:rPr>
              <w:sz w:val="16"/>
              <w:szCs w:val="16"/>
            </w:rPr>
          </w:pPr>
          <w:r>
            <w:rPr>
              <w:sz w:val="16"/>
              <w:szCs w:val="16"/>
            </w:rPr>
            <w:t>-</w:t>
          </w:r>
        </w:p>
      </w:tc>
    </w:tr>
  </w:tbl>
  <w:p w:rsidR="00262B13" w:rsidRPr="00262B13" w:rsidRDefault="00262B13" w:rsidP="00D126B2">
    <w:pPr>
      <w:jc w:val="both"/>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FB0"/>
    <w:multiLevelType w:val="hybridMultilevel"/>
    <w:tmpl w:val="CB8C3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4830C1"/>
    <w:multiLevelType w:val="hybridMultilevel"/>
    <w:tmpl w:val="80BAE994"/>
    <w:lvl w:ilvl="0" w:tplc="6D26E4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1E5AEE"/>
    <w:multiLevelType w:val="hybridMultilevel"/>
    <w:tmpl w:val="5D9EE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1445AD"/>
    <w:multiLevelType w:val="multilevel"/>
    <w:tmpl w:val="DC9AB4A0"/>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
    <w:nsid w:val="33172835"/>
    <w:multiLevelType w:val="hybridMultilevel"/>
    <w:tmpl w:val="C9E00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853E2E"/>
    <w:multiLevelType w:val="hybridMultilevel"/>
    <w:tmpl w:val="F6DCD8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5344802"/>
    <w:multiLevelType w:val="hybridMultilevel"/>
    <w:tmpl w:val="499EBF12"/>
    <w:lvl w:ilvl="0" w:tplc="9DA6805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FF01D6E"/>
    <w:multiLevelType w:val="hybridMultilevel"/>
    <w:tmpl w:val="30463498"/>
    <w:lvl w:ilvl="0" w:tplc="F3326F40">
      <w:start w:val="1"/>
      <w:numFmt w:val="decimal"/>
      <w:lvlText w:val="%1."/>
      <w:lvlJc w:val="left"/>
      <w:pPr>
        <w:ind w:left="435" w:hanging="360"/>
      </w:pPr>
      <w:rPr>
        <w:rFonts w:hint="default"/>
        <w:b/>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fill="f" fillcolor="white" stroke="f">
      <v:fill color="white" on="f"/>
      <v:stroke on="f"/>
    </o:shapedefaults>
  </w:hdrShapeDefaults>
  <w:footnotePr>
    <w:footnote w:id="0"/>
    <w:footnote w:id="1"/>
  </w:footnotePr>
  <w:endnotePr>
    <w:endnote w:id="0"/>
    <w:endnote w:id="1"/>
  </w:endnotePr>
  <w:compat/>
  <w:rsids>
    <w:rsidRoot w:val="00DF648F"/>
    <w:rsid w:val="00034BC5"/>
    <w:rsid w:val="00064858"/>
    <w:rsid w:val="000B0F67"/>
    <w:rsid w:val="000C1A8E"/>
    <w:rsid w:val="000D25A7"/>
    <w:rsid w:val="000D6B27"/>
    <w:rsid w:val="0011159E"/>
    <w:rsid w:val="001123E8"/>
    <w:rsid w:val="00162A48"/>
    <w:rsid w:val="001709FC"/>
    <w:rsid w:val="001C57C4"/>
    <w:rsid w:val="001D36D7"/>
    <w:rsid w:val="001E0AED"/>
    <w:rsid w:val="00262B13"/>
    <w:rsid w:val="00280412"/>
    <w:rsid w:val="002929CF"/>
    <w:rsid w:val="002C786F"/>
    <w:rsid w:val="00334340"/>
    <w:rsid w:val="003367C0"/>
    <w:rsid w:val="00342D4D"/>
    <w:rsid w:val="00346E51"/>
    <w:rsid w:val="00364623"/>
    <w:rsid w:val="00390839"/>
    <w:rsid w:val="003A269E"/>
    <w:rsid w:val="003C17EC"/>
    <w:rsid w:val="003D793D"/>
    <w:rsid w:val="00402AD4"/>
    <w:rsid w:val="00411F19"/>
    <w:rsid w:val="0046067D"/>
    <w:rsid w:val="004832CA"/>
    <w:rsid w:val="00490904"/>
    <w:rsid w:val="00507A69"/>
    <w:rsid w:val="00511106"/>
    <w:rsid w:val="005403D7"/>
    <w:rsid w:val="00551503"/>
    <w:rsid w:val="005645CA"/>
    <w:rsid w:val="005838B4"/>
    <w:rsid w:val="005C654E"/>
    <w:rsid w:val="005D78B0"/>
    <w:rsid w:val="005E3C96"/>
    <w:rsid w:val="005F726D"/>
    <w:rsid w:val="00602365"/>
    <w:rsid w:val="00613367"/>
    <w:rsid w:val="0061750B"/>
    <w:rsid w:val="00630A14"/>
    <w:rsid w:val="00687526"/>
    <w:rsid w:val="006C57BB"/>
    <w:rsid w:val="006C7203"/>
    <w:rsid w:val="006E0985"/>
    <w:rsid w:val="0070176C"/>
    <w:rsid w:val="00703E80"/>
    <w:rsid w:val="007043B3"/>
    <w:rsid w:val="00724CD0"/>
    <w:rsid w:val="00730D79"/>
    <w:rsid w:val="007637BA"/>
    <w:rsid w:val="007D1D46"/>
    <w:rsid w:val="007D546D"/>
    <w:rsid w:val="007F55D5"/>
    <w:rsid w:val="008740B9"/>
    <w:rsid w:val="00875DED"/>
    <w:rsid w:val="008A1E1E"/>
    <w:rsid w:val="008F0F01"/>
    <w:rsid w:val="00906476"/>
    <w:rsid w:val="009337B9"/>
    <w:rsid w:val="00933FAB"/>
    <w:rsid w:val="00984EFF"/>
    <w:rsid w:val="009E2367"/>
    <w:rsid w:val="00A10F5E"/>
    <w:rsid w:val="00A70980"/>
    <w:rsid w:val="00A74D2D"/>
    <w:rsid w:val="00A865A4"/>
    <w:rsid w:val="00AD6FFE"/>
    <w:rsid w:val="00AF7C2A"/>
    <w:rsid w:val="00B2570E"/>
    <w:rsid w:val="00B31162"/>
    <w:rsid w:val="00B51178"/>
    <w:rsid w:val="00B73587"/>
    <w:rsid w:val="00BC1DBD"/>
    <w:rsid w:val="00C10D06"/>
    <w:rsid w:val="00C73A4D"/>
    <w:rsid w:val="00C8124B"/>
    <w:rsid w:val="00C83CBA"/>
    <w:rsid w:val="00CD61C0"/>
    <w:rsid w:val="00D0619D"/>
    <w:rsid w:val="00D071B6"/>
    <w:rsid w:val="00D126B2"/>
    <w:rsid w:val="00D3145D"/>
    <w:rsid w:val="00D7459A"/>
    <w:rsid w:val="00D93C8C"/>
    <w:rsid w:val="00DB32FF"/>
    <w:rsid w:val="00DD1F43"/>
    <w:rsid w:val="00DD25E7"/>
    <w:rsid w:val="00DE45B5"/>
    <w:rsid w:val="00DF2E98"/>
    <w:rsid w:val="00DF648F"/>
    <w:rsid w:val="00E515E9"/>
    <w:rsid w:val="00E7112F"/>
    <w:rsid w:val="00EC0772"/>
    <w:rsid w:val="00EC378B"/>
    <w:rsid w:val="00F17FDF"/>
    <w:rsid w:val="00F6687C"/>
    <w:rsid w:val="00F95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FE"/>
    <w:pPr>
      <w:autoSpaceDE w:val="0"/>
      <w:autoSpaceDN w:val="0"/>
    </w:pPr>
  </w:style>
  <w:style w:type="paragraph" w:styleId="Balk1">
    <w:name w:val="heading 1"/>
    <w:basedOn w:val="Normal"/>
    <w:next w:val="Normal"/>
    <w:qFormat/>
    <w:rsid w:val="00AD6FFE"/>
    <w:pPr>
      <w:keepNext/>
      <w:widowControl w:val="0"/>
      <w:jc w:val="center"/>
      <w:outlineLvl w:val="0"/>
    </w:pPr>
    <w:rPr>
      <w:b/>
      <w:bCs/>
      <w:sz w:val="22"/>
      <w:szCs w:val="22"/>
    </w:rPr>
  </w:style>
  <w:style w:type="paragraph" w:styleId="Balk2">
    <w:name w:val="heading 2"/>
    <w:basedOn w:val="Normal"/>
    <w:next w:val="Normal"/>
    <w:qFormat/>
    <w:rsid w:val="00AD6FFE"/>
    <w:pPr>
      <w:keepNext/>
      <w:widowControl w:val="0"/>
      <w:ind w:right="-340"/>
      <w:outlineLvl w:val="1"/>
    </w:pPr>
    <w:rPr>
      <w:b/>
      <w:bCs/>
      <w:szCs w:val="24"/>
    </w:rPr>
  </w:style>
  <w:style w:type="paragraph" w:styleId="Balk3">
    <w:name w:val="heading 3"/>
    <w:basedOn w:val="Normal"/>
    <w:next w:val="Normal"/>
    <w:qFormat/>
    <w:rsid w:val="00AD6FFE"/>
    <w:pPr>
      <w:keepNext/>
      <w:widowControl w:val="0"/>
      <w:jc w:val="center"/>
      <w:outlineLvl w:val="2"/>
    </w:pPr>
    <w:rPr>
      <w:b/>
      <w:bCs/>
      <w:szCs w:val="24"/>
    </w:rPr>
  </w:style>
  <w:style w:type="paragraph" w:styleId="Balk4">
    <w:name w:val="heading 4"/>
    <w:basedOn w:val="Normal"/>
    <w:next w:val="Normal"/>
    <w:qFormat/>
    <w:rsid w:val="00AD6FFE"/>
    <w:pPr>
      <w:keepNext/>
      <w:jc w:val="center"/>
      <w:outlineLvl w:val="3"/>
    </w:pPr>
    <w:rPr>
      <w:b/>
      <w:bCs/>
      <w:sz w:val="32"/>
      <w:szCs w:val="28"/>
    </w:rPr>
  </w:style>
  <w:style w:type="paragraph" w:styleId="Balk5">
    <w:name w:val="heading 5"/>
    <w:basedOn w:val="Normal"/>
    <w:next w:val="Normal"/>
    <w:qFormat/>
    <w:rsid w:val="00AD6FFE"/>
    <w:pPr>
      <w:keepNext/>
      <w:outlineLvl w:val="4"/>
    </w:pPr>
    <w:rPr>
      <w:b/>
      <w:bCs/>
      <w:sz w:val="32"/>
      <w:szCs w:val="32"/>
    </w:rPr>
  </w:style>
  <w:style w:type="paragraph" w:styleId="Balk6">
    <w:name w:val="heading 6"/>
    <w:basedOn w:val="Normal"/>
    <w:next w:val="Normal"/>
    <w:qFormat/>
    <w:rsid w:val="00AD6FFE"/>
    <w:pPr>
      <w:keepNext/>
      <w:ind w:left="230"/>
      <w:outlineLvl w:val="5"/>
    </w:pPr>
    <w:rPr>
      <w:b/>
      <w:bCs/>
      <w:snapToGrid w:val="0"/>
      <w:sz w:val="32"/>
      <w:szCs w:val="28"/>
    </w:rPr>
  </w:style>
  <w:style w:type="paragraph" w:styleId="Balk7">
    <w:name w:val="heading 7"/>
    <w:basedOn w:val="Normal"/>
    <w:next w:val="Normal"/>
    <w:qFormat/>
    <w:rsid w:val="00AD6FFE"/>
    <w:pPr>
      <w:keepNext/>
      <w:widowControl w:val="0"/>
      <w:jc w:val="center"/>
      <w:outlineLvl w:val="6"/>
    </w:pPr>
    <w:rPr>
      <w:b/>
      <w:bCs/>
      <w:snapToGrid w:val="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D6FFE"/>
    <w:pPr>
      <w:tabs>
        <w:tab w:val="center" w:pos="4536"/>
        <w:tab w:val="right" w:pos="9072"/>
      </w:tabs>
    </w:pPr>
  </w:style>
  <w:style w:type="paragraph" w:styleId="Altbilgi">
    <w:name w:val="footer"/>
    <w:basedOn w:val="Normal"/>
    <w:link w:val="AltbilgiChar"/>
    <w:rsid w:val="00AD6FFE"/>
    <w:pPr>
      <w:tabs>
        <w:tab w:val="center" w:pos="4536"/>
        <w:tab w:val="right" w:pos="9072"/>
      </w:tabs>
    </w:pPr>
  </w:style>
  <w:style w:type="character" w:styleId="SayfaNumaras">
    <w:name w:val="page number"/>
    <w:basedOn w:val="VarsaylanParagrafYazTipi"/>
    <w:rsid w:val="0070176C"/>
  </w:style>
  <w:style w:type="table" w:styleId="TabloKlavuzu">
    <w:name w:val="Table Grid"/>
    <w:basedOn w:val="NormalTablo"/>
    <w:rsid w:val="008F0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C73A4D"/>
    <w:rPr>
      <w:rFonts w:ascii="Tahoma" w:hAnsi="Tahoma" w:cs="Tahoma"/>
      <w:sz w:val="16"/>
      <w:szCs w:val="16"/>
    </w:rPr>
  </w:style>
  <w:style w:type="character" w:customStyle="1" w:styleId="BalonMetniChar">
    <w:name w:val="Balon Metni Char"/>
    <w:basedOn w:val="VarsaylanParagrafYazTipi"/>
    <w:link w:val="BalonMetni"/>
    <w:rsid w:val="00C73A4D"/>
    <w:rPr>
      <w:rFonts w:ascii="Tahoma" w:hAnsi="Tahoma" w:cs="Tahoma"/>
      <w:sz w:val="16"/>
      <w:szCs w:val="16"/>
    </w:rPr>
  </w:style>
  <w:style w:type="character" w:customStyle="1" w:styleId="stbilgiChar">
    <w:name w:val="Üstbilgi Char"/>
    <w:basedOn w:val="VarsaylanParagrafYazTipi"/>
    <w:link w:val="stbilgi"/>
    <w:uiPriority w:val="99"/>
    <w:rsid w:val="00C73A4D"/>
  </w:style>
  <w:style w:type="table" w:styleId="TabloAltBalk2">
    <w:name w:val="Table Subtle 2"/>
    <w:basedOn w:val="NormalTablo"/>
    <w:rsid w:val="00C73A4D"/>
    <w:pPr>
      <w:autoSpaceDE w:val="0"/>
      <w:autoSpaceDN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ltbilgiChar">
    <w:name w:val="Altbilgi Char"/>
    <w:basedOn w:val="VarsaylanParagrafYazTipi"/>
    <w:link w:val="Altbilgi"/>
    <w:rsid w:val="00D126B2"/>
  </w:style>
</w:styles>
</file>

<file path=word/webSettings.xml><?xml version="1.0" encoding="utf-8"?>
<w:webSettings xmlns:r="http://schemas.openxmlformats.org/officeDocument/2006/relationships" xmlns:w="http://schemas.openxmlformats.org/wordprocessingml/2006/main">
  <w:divs>
    <w:div w:id="4329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07D72-FEB6-4464-9792-16F6AE41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312</Words>
  <Characters>1780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VARDARLI</vt:lpstr>
    </vt:vector>
  </TitlesOfParts>
  <Company>Unknown Organization</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VARDARLI</dc:title>
  <dc:creator>Unknown User</dc:creator>
  <cp:lastModifiedBy>user</cp:lastModifiedBy>
  <cp:revision>10</cp:revision>
  <cp:lastPrinted>2016-02-18T06:57:00Z</cp:lastPrinted>
  <dcterms:created xsi:type="dcterms:W3CDTF">2016-10-19T09:56:00Z</dcterms:created>
  <dcterms:modified xsi:type="dcterms:W3CDTF">2019-12-11T13:49:00Z</dcterms:modified>
</cp:coreProperties>
</file>